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ED" w:rsidRDefault="00056A03">
      <w:pPr>
        <w:spacing w:after="114" w:line="238" w:lineRule="auto"/>
        <w:jc w:val="center"/>
      </w:pPr>
      <w:hyperlink r:id="rId5">
        <w:r w:rsidR="007C5CAC">
          <w:rPr>
            <w:rFonts w:ascii="Times New Roman" w:eastAsia="Times New Roman" w:hAnsi="Times New Roman" w:cs="Times New Roman"/>
            <w:color w:val="106BBE"/>
            <w:sz w:val="24"/>
          </w:rPr>
          <w:t xml:space="preserve">Кто из налогоплательщиков может рассчитывать на поддержку государства в связи с </w:t>
        </w:r>
      </w:hyperlink>
      <w:hyperlink r:id="rId6">
        <w:r w:rsidR="007C5CAC">
          <w:rPr>
            <w:rFonts w:ascii="Times New Roman" w:eastAsia="Times New Roman" w:hAnsi="Times New Roman" w:cs="Times New Roman"/>
            <w:color w:val="106BBE"/>
            <w:sz w:val="24"/>
          </w:rPr>
          <w:t>пандемией COVID</w:t>
        </w:r>
      </w:hyperlink>
      <w:hyperlink r:id="rId7">
        <w:r w:rsidR="007C5CAC">
          <w:rPr>
            <w:rFonts w:ascii="Times New Roman" w:eastAsia="Times New Roman" w:hAnsi="Times New Roman" w:cs="Times New Roman"/>
            <w:color w:val="106BBE"/>
            <w:sz w:val="24"/>
          </w:rPr>
          <w:t>-</w:t>
        </w:r>
      </w:hyperlink>
      <w:hyperlink r:id="rId8">
        <w:r w:rsidR="007C5CAC">
          <w:rPr>
            <w:rFonts w:ascii="Times New Roman" w:eastAsia="Times New Roman" w:hAnsi="Times New Roman" w:cs="Times New Roman"/>
            <w:color w:val="106BBE"/>
            <w:sz w:val="24"/>
          </w:rPr>
          <w:t xml:space="preserve">19? </w:t>
        </w:r>
      </w:hyperlink>
      <w:hyperlink r:id="rId9">
        <w:r w:rsidR="007C5CAC">
          <w:rPr>
            <w:rFonts w:ascii="Times New Roman" w:eastAsia="Times New Roman" w:hAnsi="Times New Roman" w:cs="Times New Roman"/>
            <w:b/>
            <w:color w:val="26282F"/>
            <w:sz w:val="24"/>
          </w:rPr>
          <w:t xml:space="preserve"> </w:t>
        </w:r>
      </w:hyperlink>
    </w:p>
    <w:p w:rsidR="006E6FED" w:rsidRDefault="007C5CAC" w:rsidP="00056A03">
      <w:pPr>
        <w:spacing w:after="78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 w:line="24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Уже сейчас очевидно, что коронавирус нанесет серьезный удар по всем отраслям промышленности. Какие будут последствия для каждого из нас, сказать пока сложно. </w:t>
      </w:r>
    </w:p>
    <w:p w:rsidR="006E6FED" w:rsidRDefault="007C5CAC">
      <w:pPr>
        <w:spacing w:after="0" w:line="24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том, какие меры предпринимаются Правительством РФ и кто именно из налогоплательщиков может рассчитывать на поддержку государства, можно узнать из нашего материала. </w:t>
      </w:r>
    </w:p>
    <w:p w:rsidR="006E6FED" w:rsidRDefault="007C5CAC">
      <w:pPr>
        <w:spacing w:after="0"/>
        <w:ind w:left="2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1" w:type="dxa"/>
        <w:tblInd w:w="109" w:type="dxa"/>
        <w:tblCellMar>
          <w:left w:w="111" w:type="dxa"/>
          <w:bottom w:w="16" w:type="dxa"/>
          <w:right w:w="440" w:type="dxa"/>
        </w:tblCellMar>
        <w:tblLook w:val="04A0" w:firstRow="1" w:lastRow="0" w:firstColumn="1" w:lastColumn="0" w:noHBand="0" w:noVBand="1"/>
      </w:tblPr>
      <w:tblGrid>
        <w:gridCol w:w="9351"/>
      </w:tblGrid>
      <w:tr w:rsidR="006E6FED">
        <w:trPr>
          <w:trHeight w:val="1218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AF3E9"/>
            <w:vAlign w:val="bottom"/>
          </w:tcPr>
          <w:p w:rsidR="006E6FED" w:rsidRDefault="007C5CAC">
            <w:pPr>
              <w:ind w:right="473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0000" cy="228600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  <w:p w:rsidR="006E6FED" w:rsidRDefault="007C5CAC">
            <w:pPr>
              <w:ind w:left="385" w:right="62" w:hanging="3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настоящее время антикризисные меры направлены, в первую очередь, на субъектов малого предпринимательства, а также отдельные отрасли, перечень которых определяется Правительством РФ. </w:t>
            </w:r>
          </w:p>
        </w:tc>
      </w:tr>
    </w:tbl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6E6FED">
      <w:pPr>
        <w:sectPr w:rsidR="006E6FED">
          <w:pgSz w:w="11906" w:h="16838"/>
          <w:pgMar w:top="1440" w:right="847" w:bottom="1440" w:left="1702" w:header="720" w:footer="720" w:gutter="0"/>
          <w:cols w:space="720"/>
        </w:sectPr>
      </w:pPr>
    </w:p>
    <w:p w:rsidR="006E6FED" w:rsidRDefault="006E6FED">
      <w:pPr>
        <w:spacing w:after="0"/>
        <w:ind w:left="-1440" w:right="15398"/>
      </w:pPr>
    </w:p>
    <w:tbl>
      <w:tblPr>
        <w:tblStyle w:val="TableGrid"/>
        <w:tblW w:w="14883" w:type="dxa"/>
        <w:tblInd w:w="-192" w:type="dxa"/>
        <w:tblCellMar>
          <w:top w:w="57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827"/>
        <w:gridCol w:w="4818"/>
        <w:gridCol w:w="6238"/>
      </w:tblGrid>
      <w:tr w:rsidR="006E6FED">
        <w:trPr>
          <w:trHeight w:val="56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284"/>
        </w:trPr>
        <w:tc>
          <w:tcPr>
            <w:tcW w:w="1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6FED" w:rsidRDefault="007C5CA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ПРОДЛЕНИЕ СРОКОВ УПЛАТЫ НАЛОГОВЫХ ПЛАТЕЖЕЙ И ПРЕДСТАВЛЕНИЯ ОТЧЕТНОСТИ </w:t>
            </w:r>
          </w:p>
        </w:tc>
      </w:tr>
      <w:tr w:rsidR="006E6FED">
        <w:trPr>
          <w:trHeight w:val="553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>1. Продление сроков представления отчетности, которые надлежит сдать в марте</w:t>
            </w:r>
            <w:r w:rsidR="00343D7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мае 2020 года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организации и ИП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представления: </w:t>
            </w:r>
          </w:p>
          <w:p w:rsidR="006E6FED" w:rsidRDefault="007C5CAC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налоговой отчетности, за исключением декларации по НДС и расчета по страховым взносам за 1 кв. 2020 г., продлены на 3 месяца. Сроки представления декларации по НДС и расчета по страховым взносам необходимо сдать не позднее 15.05.2020 (</w:t>
            </w:r>
            <w:hyperlink r:id="rId11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3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N 409);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продления годовой бухгалтерской отчетности зависит от того, формирует или нет ваша бухгалтерская отчетность государственный информационный ресурс (ГИРБО). Для организаций, годовая бухгалтерская отчетность которых формирует государственный ресурс, дата представления бух</w:t>
            </w:r>
            <w:r w:rsidR="00343D7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отчетности за 2019 год - 6 мая 2020 года (</w:t>
            </w:r>
            <w:hyperlink r:id="rId13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письмо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Минфина и ФНС России от 06.04.2020 N 07-04-07/27289/ВД-4-1/5878@).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статистической отчетности (см. информацию Росстата </w:t>
            </w:r>
            <w:hyperlink r:id="rId1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03.04.2020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hyperlink r:id="rId17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26.03.2020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</w:t>
            </w:r>
            <w:hyperlink r:id="rId19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Таблицу переноса сроков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налоговой и бух</w:t>
            </w:r>
            <w:r w:rsidR="00343D7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отчетности </w:t>
            </w:r>
          </w:p>
        </w:tc>
      </w:tr>
      <w:tr w:rsidR="006E6FED">
        <w:trPr>
          <w:trHeight w:val="13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Продление срока уплаты налогов (авансовых платежей по налогам), сборов за 2019 год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Продление касается налогоплательщиков, которым в соответствии с </w:t>
            </w:r>
            <w:hyperlink r:id="rId21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Указом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Президента РФ от 25.03.2020 N 206, установлены нерабочие дни в период с </w:t>
            </w:r>
          </w:p>
          <w:p w:rsidR="006E6FED" w:rsidRDefault="007C5CA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30.03.2020 по 30.04.2020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3"/>
            </w:pPr>
            <w:hyperlink r:id="rId23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письмо</w:t>
              </w:r>
            </w:hyperlink>
            <w:hyperlink r:id="rId24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ФНС России от 01.04.2020 N СД-4-3/5547@ </w:t>
            </w:r>
          </w:p>
        </w:tc>
      </w:tr>
      <w:tr w:rsidR="006E6FED">
        <w:trPr>
          <w:trHeight w:val="13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Продление срока уплаты налогов за 2019 год - на 6 месяцев: </w:t>
            </w:r>
          </w:p>
          <w:p w:rsidR="006E6FED" w:rsidRDefault="007C5CAC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налога на прибыль; </w:t>
            </w:r>
          </w:p>
          <w:p w:rsidR="006E6FED" w:rsidRDefault="007C5CAC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налога, уплачиваемого в связи с применением УСН;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Налогоплательщики, осуществляющие деятельность в отраслях, наиболее пострадавших в условиях ухудшения ситуации с распространением COVID-19 (поручения Правительства </w:t>
            </w:r>
            <w:hyperlink r:id="rId2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20.03.2020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numPr>
                <w:ilvl w:val="0"/>
                <w:numId w:val="3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и ИП должны быть внесены в единый реестр субъектов СМП по состоянию на 01.03.2020.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ОКВЭД, зафиксированный в ЕГРЮЛ (ЕГРИП), должен соответствовать тому виду деятельности, который вы </w:t>
            </w:r>
          </w:p>
        </w:tc>
      </w:tr>
    </w:tbl>
    <w:p w:rsidR="006E6FED" w:rsidRDefault="006E6FED">
      <w:pPr>
        <w:spacing w:after="0"/>
        <w:ind w:left="-1440" w:right="15398"/>
      </w:pPr>
    </w:p>
    <w:tbl>
      <w:tblPr>
        <w:tblStyle w:val="TableGrid"/>
        <w:tblW w:w="14886" w:type="dxa"/>
        <w:tblInd w:w="-193" w:type="dxa"/>
        <w:tblCellMar>
          <w:top w:w="47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829"/>
        <w:gridCol w:w="4818"/>
        <w:gridCol w:w="6239"/>
      </w:tblGrid>
      <w:tr w:rsidR="006E6FED">
        <w:trPr>
          <w:trHeight w:val="5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27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- ЕСХН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hyperlink r:id="rId27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18.03.2020</w:t>
              </w:r>
            </w:hyperlink>
            <w:hyperlink r:id="rId28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056A03">
            <w:pPr>
              <w:spacing w:line="238" w:lineRule="auto"/>
            </w:pPr>
            <w:hyperlink r:id="rId29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Перечень</w:t>
              </w:r>
            </w:hyperlink>
            <w:hyperlink r:id="rId30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>этих отраслей (далее - Перечень) утвержден постановлением Правительства РФ от 03.04.2020 N 434. Несмотря на то, что в указанном постановлении обозначено, что он используется для целей кредитных каникул, тем не менее ФНС России ссылается именно на этот перечень на своем сайте в разделе "</w:t>
            </w:r>
            <w:hyperlink r:id="rId31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Меры поддержки бизнеса, </w:t>
              </w:r>
            </w:hyperlink>
            <w:hyperlink r:id="rId32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занятого в пострадавших от коронавируса </w:t>
              </w:r>
            </w:hyperlink>
            <w:hyperlink r:id="rId33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отраслях</w:t>
              </w:r>
            </w:hyperlink>
            <w:hyperlink r:id="rId34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>"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настоящее время в этот перечень включены такие отрасли как туризм, авиаперевозки, организации общепита, гостиничных услуг и т.д.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осуществляете и который входит в утвержденный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Правительством Перечень (</w:t>
            </w:r>
            <w:hyperlink r:id="rId3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1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02.04.2020 N 409)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 налогоплательщикам, которые осуществляют вид деятельности в соответствующей отрасли, но при этом их нет в размещенных списках, рекомендуется обращаться в соответствующее отраслевое министерство или ведомство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2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</w:t>
            </w:r>
            <w:hyperlink r:id="rId37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Таблицу переноса сроков уплаты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налогов и страховых взносов </w:t>
            </w:r>
          </w:p>
        </w:tc>
      </w:tr>
      <w:tr w:rsidR="006E6FED">
        <w:trPr>
          <w:trHeight w:val="111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4. Продление срока уплаты НДФЛ за 2019 г., уплачиваемый ИП в соответствии с </w:t>
            </w:r>
            <w:hyperlink r:id="rId39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6 ст. 227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НК РФ, - на 3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FED" w:rsidRDefault="006E6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FED" w:rsidRDefault="006E6FED"/>
        </w:tc>
      </w:tr>
      <w:tr w:rsidR="006E6FED">
        <w:trPr>
          <w:trHeight w:val="442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Продление срока уплаты налогов (за исключением НДС, налога на профессиональный доход (НПД), налогов, уплачиваемых в качестве налогового агента), авансовых платежей по налогам: </w:t>
            </w:r>
          </w:p>
          <w:p w:rsidR="006E6FED" w:rsidRDefault="007C5CAC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март и 1 квартал 2020 г. - на 6 месяцев; </w:t>
            </w:r>
          </w:p>
          <w:p w:rsidR="006E6FED" w:rsidRDefault="007C5CAC">
            <w:pPr>
              <w:numPr>
                <w:ilvl w:val="0"/>
                <w:numId w:val="4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апрель - июнь, 2 кв. и первое полугодие 2020 г. - на четыре месяца; </w:t>
            </w:r>
          </w:p>
          <w:p w:rsidR="006E6FED" w:rsidRDefault="007C5CAC">
            <w:pPr>
              <w:numPr>
                <w:ilvl w:val="0"/>
                <w:numId w:val="4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налога, уплачиваемого в связи с применением ПСН, срок уплаты которого приходится на II квартал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2020 г. - на 4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FED" w:rsidRDefault="006E6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FED" w:rsidRDefault="006E6FED"/>
        </w:tc>
      </w:tr>
      <w:tr w:rsidR="006E6FED">
        <w:trPr>
          <w:trHeight w:val="27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right="16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Для организаций, осуществляющих деятельность на территориях, на которых установлена обязанность уплаты авансовых платежей по: - транспортному налогу; - налогу на имущество организаций; </w:t>
            </w:r>
          </w:p>
          <w:p w:rsidR="006E6FED" w:rsidRDefault="007C5CAC">
            <w:pPr>
              <w:ind w:right="7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земельному налогу, срок уплаты таких платежей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</w:tr>
    </w:tbl>
    <w:p w:rsidR="006E6FED" w:rsidRDefault="006E6FED">
      <w:pPr>
        <w:spacing w:after="0"/>
        <w:ind w:left="-1440" w:right="15398"/>
      </w:pPr>
    </w:p>
    <w:tbl>
      <w:tblPr>
        <w:tblStyle w:val="TableGrid"/>
        <w:tblW w:w="14883" w:type="dxa"/>
        <w:tblInd w:w="-192" w:type="dxa"/>
        <w:tblCellMar>
          <w:top w:w="4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3827"/>
        <w:gridCol w:w="4818"/>
        <w:gridCol w:w="6238"/>
      </w:tblGrid>
      <w:tr w:rsidR="006E6FED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138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продлен: </w:t>
            </w:r>
          </w:p>
          <w:p w:rsidR="006E6FED" w:rsidRDefault="007C5CAC">
            <w:pPr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первый квартал 2020 года - не позднее 30 октября 2020 года; - за второй квартал 2020 года - не позднее 30 декабря 2020 года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</w:tr>
      <w:tr w:rsidR="006E6FED">
        <w:trPr>
          <w:trHeight w:val="27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Продление срока уплаты авансовых платежей за 1 кв. 2020 г. по региональным и местным налогам (авансовых платежей по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налогу) и торгового сбора в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>бюджет г. Москвы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Налогоплательщики-организации, осуществляющие деятельность в сфере: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торговли;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общественного питания;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туризма;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физической культуры и спорта;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досуга;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гостиничных услуг; </w:t>
            </w:r>
          </w:p>
          <w:p w:rsidR="006E6FED" w:rsidRDefault="007C5CAC">
            <w:pPr>
              <w:numPr>
                <w:ilvl w:val="0"/>
                <w:numId w:val="5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бытовых услуг населению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за I квартал 2020 г. по налогу на имущество организаций и земельному налогу, а также торговому сбору указанные налогоплательщики могут уплатить до 31.12.2020 (</w:t>
            </w:r>
            <w:hyperlink r:id="rId41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п.п. 1, 2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Правительства Москвы от 31.03.2020 N 273-ПП "О внесении изменения в постановление Правительства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Москвы от 24 марта 2020 г. N 212-ПП") </w:t>
            </w:r>
          </w:p>
        </w:tc>
      </w:tr>
      <w:tr w:rsidR="006E6FED">
        <w:trPr>
          <w:trHeight w:val="500"/>
        </w:trPr>
        <w:tc>
          <w:tcPr>
            <w:tcW w:w="1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FED" w:rsidRDefault="007C5CA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 xml:space="preserve">ПРИОСТАНОВЛЕНИЕ МЕР ВЗЫСКАНИЯ </w:t>
            </w:r>
          </w:p>
        </w:tc>
      </w:tr>
      <w:tr w:rsidR="006E6FED">
        <w:trPr>
          <w:trHeight w:val="387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Приостановление взыскания налоговых платежей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>до 01.05.2020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left="1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Налогоплательщики, осуществляющие деятельность в отраслях, наиболее пострадавших в условиях ухудшения ситуации с распространением COVID-19 (поручения Правительства </w:t>
            </w:r>
            <w:hyperlink r:id="rId43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20.03.2020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hyperlink r:id="rId4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 18.03.2020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E6FED" w:rsidRDefault="00056A03">
            <w:pPr>
              <w:ind w:left="1"/>
            </w:pPr>
            <w:hyperlink r:id="rId47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Перечень</w:t>
              </w:r>
            </w:hyperlink>
            <w:hyperlink r:id="rId48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>этих отраслей (далее - Перечень) утвержден постановлением Правительства РФ от 03.04.2020 N 434. Несмотря на то, что в указанном постановлении обозначено, что он используется для целей кредитных каникул, тем не менее ФНС России ссылается именно на этот перечень на своем сайте в разделе "</w:t>
            </w:r>
            <w:hyperlink r:id="rId49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Меры поддержки бизнеса, 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numPr>
                <w:ilvl w:val="0"/>
                <w:numId w:val="6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Налоговый орган самостоятельно откладывает применение соответствующих мер. Дополнительно подавать заявления налогоплательщикам не требуется </w:t>
            </w:r>
            <w:hyperlink r:id="rId50">
              <w:r>
                <w:rPr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информация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ФНС России от 27.03.2020). </w:t>
            </w:r>
          </w:p>
          <w:p w:rsidR="006E6FED" w:rsidRDefault="007C5CAC">
            <w:pPr>
              <w:numPr>
                <w:ilvl w:val="0"/>
                <w:numId w:val="6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Списки компаний и коды ОКВЭД для предоставления отсрочки взыскания налоговой службе должны предоставить уполномоченные министерства и ведомства </w:t>
            </w:r>
            <w:hyperlink r:id="rId53">
              <w:r>
                <w:rPr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информация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ФНС России от 26.03.2020). </w:t>
            </w:r>
          </w:p>
          <w:p w:rsidR="006E6FED" w:rsidRDefault="007C5CAC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Меры взыскания приостанавливаются только с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25.03.2020. Ранее принятые решения отозваны не будут.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01.05.2020 налоговые органы не будут: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принимать решения о взыскании при условии, что это не нарушит двухмесячный срок, установленный </w:t>
            </w:r>
            <w:hyperlink r:id="rId56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3 ст. 46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:rsidR="006E6FED" w:rsidRDefault="006E6FED">
      <w:pPr>
        <w:spacing w:after="0"/>
        <w:ind w:left="-1440" w:right="15398"/>
      </w:pPr>
    </w:p>
    <w:tbl>
      <w:tblPr>
        <w:tblStyle w:val="TableGrid"/>
        <w:tblW w:w="14886" w:type="dxa"/>
        <w:tblInd w:w="-193" w:type="dxa"/>
        <w:tblCellMar>
          <w:top w:w="47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3829"/>
        <w:gridCol w:w="4818"/>
        <w:gridCol w:w="6239"/>
      </w:tblGrid>
      <w:tr w:rsidR="006E6FED">
        <w:trPr>
          <w:trHeight w:val="5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662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spacing w:line="239" w:lineRule="auto"/>
            </w:pPr>
            <w:hyperlink r:id="rId58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занятого в пострадавших от коронавируса </w:t>
              </w:r>
            </w:hyperlink>
            <w:hyperlink r:id="rId59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отраслях</w:t>
              </w:r>
            </w:hyperlink>
            <w:hyperlink r:id="rId60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>"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настоящее время в этот перечень включены такие отрасли как туризм, авиаперевозки, организации общепита, гостиничных услуг и т.д.)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Субъекты малого и среднего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предпринимательства (</w:t>
            </w:r>
            <w:hyperlink r:id="rId61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письмо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ФНС России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от 25.03.2020 N 1КЧ-4-8/5147@)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numPr>
                <w:ilvl w:val="0"/>
                <w:numId w:val="7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налогоплательщики - организации и ИП, за исключением случаев, когда будет установлено, что должник не относится к налогоплательщикам, наиболее пострадавшим в условиях ухудшения ситуации в связи с распространением новой коронавирусной инфекции, и непринятие мер взыскания задолженности может повлечь сокрытие активов и (или) возможность совершения иных действий, препятствующих взысканию (</w:t>
            </w:r>
            <w:hyperlink r:id="rId63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письмо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ФНС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 от 03.04.2020 N ЕД-20-8/37@)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НК РФ (указанный срок рассчитывается с даты, установленной в требовании об уплате налога); </w:t>
            </w:r>
          </w:p>
          <w:p w:rsidR="006E6FED" w:rsidRDefault="007C5CA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направлять требования об уплате налога , при условии, что это не нарушит предельные сроки, установленные </w:t>
            </w:r>
            <w:hyperlink r:id="rId6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ст. </w:t>
              </w:r>
            </w:hyperlink>
          </w:p>
          <w:p w:rsidR="006E6FED" w:rsidRDefault="00056A03">
            <w:pPr>
              <w:ind w:left="2"/>
            </w:pPr>
            <w:hyperlink r:id="rId66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70</w:t>
              </w:r>
            </w:hyperlink>
            <w:hyperlink r:id="rId67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НК РФ: </w:t>
            </w:r>
          </w:p>
          <w:p w:rsidR="006E6FED" w:rsidRDefault="007C5CAC">
            <w:pPr>
              <w:numPr>
                <w:ilvl w:val="0"/>
                <w:numId w:val="8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месяца с даты выявления недоимки (</w:t>
            </w:r>
            <w:hyperlink r:id="rId68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1 ст. 70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НК РФ); </w:t>
            </w:r>
          </w:p>
          <w:p w:rsidR="006E6FED" w:rsidRDefault="007C5CAC">
            <w:pPr>
              <w:numPr>
                <w:ilvl w:val="0"/>
                <w:numId w:val="8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рабочих дней с даты вступления в силу решения налогового органа (</w:t>
            </w:r>
            <w:hyperlink r:id="rId70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2 ст. 70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НК РФ).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4) Будьте готовы к тому, что необходимо будет подтвердить, что проблемы в бизнесе возникли именно из-за ухудшения ситуации в связи с распространением новой коронавирусной инфекции </w:t>
            </w:r>
          </w:p>
        </w:tc>
      </w:tr>
      <w:tr w:rsidR="006E6FED">
        <w:trPr>
          <w:trHeight w:val="139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Приостановление принятия решений о приостановлении операций по счетам в банке для обеспечения взыскания задолженности до 31.05.2020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налогоплательщики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2"/>
            </w:pPr>
            <w:hyperlink r:id="rId72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4</w:t>
              </w:r>
            </w:hyperlink>
            <w:hyperlink r:id="rId73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Правительства РФ от 02.04.2020 N 409 </w:t>
            </w:r>
          </w:p>
        </w:tc>
      </w:tr>
      <w:tr w:rsidR="006E6FED">
        <w:trPr>
          <w:trHeight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3. Снят запрет на открытие банковских или лицевых счетов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2"/>
            </w:pPr>
            <w:hyperlink r:id="rId74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7</w:t>
              </w:r>
            </w:hyperlink>
            <w:hyperlink r:id="rId75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Правительства РФ от 02.04.2020 N 409 </w:t>
            </w:r>
          </w:p>
        </w:tc>
      </w:tr>
    </w:tbl>
    <w:p w:rsidR="006E6FED" w:rsidRDefault="006E6FED">
      <w:pPr>
        <w:spacing w:after="0"/>
        <w:ind w:left="-1440" w:right="15398"/>
      </w:pPr>
    </w:p>
    <w:tbl>
      <w:tblPr>
        <w:tblStyle w:val="TableGrid"/>
        <w:tblW w:w="14883" w:type="dxa"/>
        <w:tblInd w:w="-192" w:type="dxa"/>
        <w:tblCellMar>
          <w:top w:w="4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827"/>
        <w:gridCol w:w="4818"/>
        <w:gridCol w:w="6238"/>
      </w:tblGrid>
      <w:tr w:rsidR="006E6FED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110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наличии решения о приостановлении операций по счетам налогоплательщика до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31.05.2020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</w:tr>
      <w:tr w:rsidR="006E6FED">
        <w:trPr>
          <w:trHeight w:val="499"/>
        </w:trPr>
        <w:tc>
          <w:tcPr>
            <w:tcW w:w="1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FED" w:rsidRDefault="007C5CAC">
            <w:pPr>
              <w:tabs>
                <w:tab w:val="center" w:pos="2384"/>
                <w:tab w:val="center" w:pos="768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26282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282F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 xml:space="preserve">ОГРАНИЧЕНИЯ В ПРОВЕДЕНИИ МЕРОПРИЯТИЙ НАЛОГОВОГО КОНТРОЛЯ </w:t>
            </w:r>
          </w:p>
        </w:tc>
      </w:tr>
      <w:tr w:rsidR="006E6FED">
        <w:trPr>
          <w:trHeight w:val="13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Приостановление вынесения решений о проведении выездных (повторных выездных) налоговых проверок, а также их проведение до 31.05.2020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налогоплательщики, включая субъектов </w:t>
            </w:r>
          </w:p>
          <w:p w:rsidR="006E6FED" w:rsidRDefault="007C5CA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малого и среднего предпринимательства </w:t>
            </w:r>
          </w:p>
          <w:p w:rsidR="006E6FED" w:rsidRDefault="007C5CAC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3"/>
            </w:pPr>
            <w:hyperlink r:id="rId76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4</w:t>
              </w:r>
            </w:hyperlink>
            <w:hyperlink r:id="rId77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Правительства РФ от 02.04.2020 N 409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6FED">
        <w:trPr>
          <w:trHeight w:val="194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Исключено проведение мероприятий налогового контроля, связанных с непосредственным контактом с налогоплательщиками (их сотрудниками, представителями), свидетелями, иными лицами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3" w:right="838"/>
            </w:pPr>
            <w:hyperlink r:id="rId78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п. 2</w:t>
              </w:r>
            </w:hyperlink>
            <w:hyperlink r:id="rId79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Приказа N ЕД-7-2/181@ см. также </w:t>
            </w:r>
            <w:hyperlink r:id="rId80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Энциклопедию решений</w:t>
              </w:r>
            </w:hyperlink>
            <w:hyperlink r:id="rId81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 Особенности проведения налоговыми органами контрольных мероприятий в связи с коронавирусной инфекцией </w:t>
            </w:r>
          </w:p>
        </w:tc>
      </w:tr>
      <w:tr w:rsidR="006E6FED">
        <w:trPr>
          <w:trHeight w:val="283"/>
        </w:trPr>
        <w:tc>
          <w:tcPr>
            <w:tcW w:w="1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6FED" w:rsidRDefault="007C5CA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СТРАХОВЫЕ ВЗНОСЫ </w:t>
            </w:r>
          </w:p>
        </w:tc>
      </w:tr>
      <w:tr w:rsidR="006E6FED">
        <w:trPr>
          <w:trHeight w:val="332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Продление срока уплаты страховых взносов (в т.ч. и от НСи ПЗ), исчисленных с выплат и иных вознаграждений в пользу физических лиц: </w:t>
            </w:r>
          </w:p>
          <w:p w:rsidR="006E6FED" w:rsidRDefault="007C5CAC">
            <w:pPr>
              <w:numPr>
                <w:ilvl w:val="0"/>
                <w:numId w:val="9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6 месяцев -за период март - май 2020 года; </w:t>
            </w:r>
          </w:p>
          <w:p w:rsidR="006E6FED" w:rsidRDefault="007C5CAC">
            <w:pPr>
              <w:numPr>
                <w:ilvl w:val="0"/>
                <w:numId w:val="9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4 месяца - за период июньиюль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Продление срока уплаты страховых взносов, исчисленных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Микропредприятия, включенные в реестр СМП по состоянию на 01.03.2020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056A03">
            <w:pPr>
              <w:ind w:left="3"/>
            </w:pPr>
            <w:hyperlink r:id="rId82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пп. "б"</w:t>
              </w:r>
            </w:hyperlink>
            <w:hyperlink r:id="rId83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>,</w:t>
              </w:r>
            </w:hyperlink>
            <w:hyperlink r:id="rId84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85">
              <w:r w:rsidR="007C5CAC"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"в" п. 1</w:t>
              </w:r>
            </w:hyperlink>
            <w:hyperlink r:id="rId86">
              <w:r w:rsidR="007C5CAC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C5CAC"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Правительства РФ от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02.04.2020 N 409 </w:t>
            </w:r>
          </w:p>
          <w:p w:rsidR="006E6FED" w:rsidRDefault="007C5CA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ind w:left="3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</w:t>
            </w:r>
            <w:hyperlink r:id="rId87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Таблицу переноса сроков уплаты</w:t>
              </w:r>
            </w:hyperlink>
            <w:hyperlink r:id="rId8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налогов и страховых взносов </w:t>
            </w:r>
          </w:p>
        </w:tc>
      </w:tr>
    </w:tbl>
    <w:p w:rsidR="006E6FED" w:rsidRDefault="006E6FED">
      <w:pPr>
        <w:spacing w:after="0"/>
        <w:ind w:left="-1440" w:right="15398"/>
      </w:pPr>
    </w:p>
    <w:tbl>
      <w:tblPr>
        <w:tblStyle w:val="TableGrid"/>
        <w:tblW w:w="14886" w:type="dxa"/>
        <w:tblInd w:w="-193" w:type="dxa"/>
        <w:tblCellMar>
          <w:top w:w="5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829"/>
        <w:gridCol w:w="4818"/>
        <w:gridCol w:w="6239"/>
      </w:tblGrid>
      <w:tr w:rsidR="006E6FED">
        <w:trPr>
          <w:trHeight w:val="5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83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ИП "за себя" за 2019 год с суммы дохода, превышающей 300 000 рублей - на 4 месяца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</w:tr>
      <w:tr w:rsidR="006E6FED">
        <w:trPr>
          <w:trHeight w:val="78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Снижение тарифов страховых взносов: </w:t>
            </w:r>
          </w:p>
          <w:p w:rsidR="006E6FED" w:rsidRDefault="007C5CAC">
            <w:pPr>
              <w:numPr>
                <w:ilvl w:val="0"/>
                <w:numId w:val="10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 апреля 2020 по 31.12.2020 </w:t>
            </w:r>
          </w:p>
          <w:p w:rsidR="006E6FED" w:rsidRDefault="007C5CAC">
            <w:pPr>
              <w:numPr>
                <w:ilvl w:val="0"/>
                <w:numId w:val="10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 января 2021 года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Субъекты малого и среднего предпринимательства (</w:t>
            </w:r>
            <w:hyperlink r:id="rId89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 xml:space="preserve">пп. 17 п. 1, п. 2.1 ст. </w:t>
              </w:r>
            </w:hyperlink>
            <w:hyperlink r:id="rId90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427</w:t>
              </w:r>
            </w:hyperlink>
            <w:hyperlink r:id="rId9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НК РФ в ред. </w:t>
            </w:r>
            <w:hyperlink r:id="rId92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Федерального закона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01.04.2020 N 102-ФЗ, </w:t>
            </w:r>
            <w:hyperlink r:id="rId94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ст.ст. 5</w:t>
              </w:r>
            </w:hyperlink>
            <w:hyperlink r:id="rId95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-</w:t>
              </w:r>
            </w:hyperlink>
            <w:hyperlink r:id="rId96">
              <w:r>
                <w:rPr>
                  <w:rFonts w:ascii="Times New Roman" w:eastAsia="Times New Roman" w:hAnsi="Times New Roman" w:cs="Times New Roman"/>
                  <w:color w:val="106BBE"/>
                  <w:sz w:val="24"/>
                </w:rPr>
                <w:t>7</w:t>
              </w:r>
            </w:hyperlink>
            <w:hyperlink r:id="rId9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Закона N 102-ФЗ)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Начиная с 1 апреля 2020 года в отношении части выплат в пользу физического лица, определяемой по итогам каждого календарного месяца как превышение над величиной МРОТ на начало расчетного периода, применяются следующие пониженные тарифы страховых взносов: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на ОПС: </w:t>
            </w:r>
          </w:p>
          <w:p w:rsidR="006E6FED" w:rsidRDefault="007C5CAC">
            <w:pPr>
              <w:spacing w:line="238" w:lineRule="auto"/>
              <w:ind w:left="2" w:right="3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пределах установленной предельной величины базы для исчисления страховых взносов - 10,0 процентов; - свыше установленной предельной величины - 10,0 процентов; </w:t>
            </w:r>
          </w:p>
          <w:p w:rsidR="006E6FED" w:rsidRDefault="007C5CA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на обязательное социальное страхование на случай временной нетрудоспособности и в связи с материнством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- 0,0 процента; </w:t>
            </w:r>
          </w:p>
          <w:p w:rsidR="006E6FED" w:rsidRDefault="007C5CAC">
            <w:pPr>
              <w:spacing w:after="1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на обязательное медицинское страхование - 5,0 процентов. </w:t>
            </w:r>
          </w:p>
          <w:p w:rsidR="006E6FED" w:rsidRDefault="007C5CA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6FED" w:rsidRDefault="007C5CAC">
            <w:pPr>
              <w:spacing w:after="62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2954" cy="948690"/>
                      <wp:effectExtent l="0" t="0" r="0" b="0"/>
                      <wp:docPr id="12121" name="Group 12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954" cy="948690"/>
                                <a:chOff x="0" y="0"/>
                                <a:chExt cx="3822954" cy="948690"/>
                              </a:xfrm>
                            </wpg:grpSpPr>
                            <wps:wsp>
                              <wps:cNvPr id="12617" name="Shape 12617"/>
                              <wps:cNvSpPr/>
                              <wps:spPr>
                                <a:xfrm>
                                  <a:off x="6350" y="6350"/>
                                  <a:ext cx="381025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254" h="228600">
                                      <a:moveTo>
                                        <a:pt x="0" y="0"/>
                                      </a:moveTo>
                                      <a:lnTo>
                                        <a:pt x="3810254" y="0"/>
                                      </a:lnTo>
                                      <a:lnTo>
                                        <a:pt x="381025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9" name="Rectangle 1469"/>
                              <wps:cNvSpPr/>
                              <wps:spPr>
                                <a:xfrm>
                                  <a:off x="2546604" y="9702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8" name="Shape 1261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19" name="Shape 12619"/>
                              <wps:cNvSpPr/>
                              <wps:spPr>
                                <a:xfrm>
                                  <a:off x="6350" y="0"/>
                                  <a:ext cx="3810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254" h="9144">
                                      <a:moveTo>
                                        <a:pt x="0" y="0"/>
                                      </a:moveTo>
                                      <a:lnTo>
                                        <a:pt x="3810254" y="0"/>
                                      </a:lnTo>
                                      <a:lnTo>
                                        <a:pt x="3810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0" name="Shape 12620"/>
                              <wps:cNvSpPr/>
                              <wps:spPr>
                                <a:xfrm>
                                  <a:off x="38166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1" name="Shape 12621"/>
                              <wps:cNvSpPr/>
                              <wps:spPr>
                                <a:xfrm>
                                  <a:off x="0" y="6350"/>
                                  <a:ext cx="914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8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2" name="Shape 12622"/>
                              <wps:cNvSpPr/>
                              <wps:spPr>
                                <a:xfrm>
                                  <a:off x="3816604" y="6350"/>
                                  <a:ext cx="914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8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3" name="Shape 12623"/>
                              <wps:cNvSpPr/>
                              <wps:spPr>
                                <a:xfrm>
                                  <a:off x="6350" y="241300"/>
                                  <a:ext cx="149860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525780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4" name="Shape 12624"/>
                              <wps:cNvSpPr/>
                              <wps:spPr>
                                <a:xfrm>
                                  <a:off x="6350" y="241300"/>
                                  <a:ext cx="1498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175260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Rectangle 1477"/>
                              <wps:cNvSpPr/>
                              <wps:spPr>
                                <a:xfrm>
                                  <a:off x="6350" y="24434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5" name="Shape 12625"/>
                              <wps:cNvSpPr/>
                              <wps:spPr>
                                <a:xfrm>
                                  <a:off x="162560" y="241300"/>
                                  <a:ext cx="349783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7834" h="525780">
                                      <a:moveTo>
                                        <a:pt x="0" y="0"/>
                                      </a:moveTo>
                                      <a:lnTo>
                                        <a:pt x="3497834" y="0"/>
                                      </a:lnTo>
                                      <a:lnTo>
                                        <a:pt x="349783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6" name="Shape 12626"/>
                              <wps:cNvSpPr/>
                              <wps:spPr>
                                <a:xfrm>
                                  <a:off x="162560" y="241300"/>
                                  <a:ext cx="34978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7834" h="175260">
                                      <a:moveTo>
                                        <a:pt x="0" y="0"/>
                                      </a:moveTo>
                                      <a:lnTo>
                                        <a:pt x="3497834" y="0"/>
                                      </a:lnTo>
                                      <a:lnTo>
                                        <a:pt x="349783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" name="Rectangle 1561"/>
                              <wps:cNvSpPr/>
                              <wps:spPr>
                                <a:xfrm>
                                  <a:off x="162560" y="274062"/>
                                  <a:ext cx="46471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Для зарплат ниже или на уровне МРОТ страховые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7" name="Shape 12627"/>
                              <wps:cNvSpPr/>
                              <wps:spPr>
                                <a:xfrm>
                                  <a:off x="162560" y="416560"/>
                                  <a:ext cx="34978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7834" h="175260">
                                      <a:moveTo>
                                        <a:pt x="0" y="0"/>
                                      </a:moveTo>
                                      <a:lnTo>
                                        <a:pt x="3497834" y="0"/>
                                      </a:lnTo>
                                      <a:lnTo>
                                        <a:pt x="349783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Rectangle 1482"/>
                              <wps:cNvSpPr/>
                              <wps:spPr>
                                <a:xfrm>
                                  <a:off x="162560" y="449322"/>
                                  <a:ext cx="28230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взносы остаются на уровне 30%.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" name="Rectangle 1483"/>
                              <wps:cNvSpPr/>
                              <wps:spPr>
                                <a:xfrm>
                                  <a:off x="2287652" y="44932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8" name="Shape 12628"/>
                              <wps:cNvSpPr/>
                              <wps:spPr>
                                <a:xfrm>
                                  <a:off x="162560" y="591820"/>
                                  <a:ext cx="34978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7834" h="175260">
                                      <a:moveTo>
                                        <a:pt x="0" y="0"/>
                                      </a:moveTo>
                                      <a:lnTo>
                                        <a:pt x="3497834" y="0"/>
                                      </a:lnTo>
                                      <a:lnTo>
                                        <a:pt x="349783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Rectangle 1485"/>
                              <wps:cNvSpPr/>
                              <wps:spPr>
                                <a:xfrm>
                                  <a:off x="162560" y="62458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9" name="Shape 12629"/>
                              <wps:cNvSpPr/>
                              <wps:spPr>
                                <a:xfrm>
                                  <a:off x="3665602" y="241300"/>
                                  <a:ext cx="151130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525780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0" name="Shape 12630"/>
                              <wps:cNvSpPr/>
                              <wps:spPr>
                                <a:xfrm>
                                  <a:off x="3665602" y="241300"/>
                                  <a:ext cx="1511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175260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Rectangle 1488"/>
                              <wps:cNvSpPr/>
                              <wps:spPr>
                                <a:xfrm>
                                  <a:off x="3665602" y="27406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1" name="Shape 12631"/>
                              <wps:cNvSpPr/>
                              <wps:spPr>
                                <a:xfrm>
                                  <a:off x="0" y="2349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2" name="Shape 12632"/>
                              <wps:cNvSpPr/>
                              <wps:spPr>
                                <a:xfrm>
                                  <a:off x="6350" y="234950"/>
                                  <a:ext cx="149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9144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3" name="Shape 12633"/>
                              <wps:cNvSpPr/>
                              <wps:spPr>
                                <a:xfrm>
                                  <a:off x="156210" y="2349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4" name="Shape 12634"/>
                              <wps:cNvSpPr/>
                              <wps:spPr>
                                <a:xfrm>
                                  <a:off x="162560" y="234950"/>
                                  <a:ext cx="34966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691" h="9144">
                                      <a:moveTo>
                                        <a:pt x="0" y="0"/>
                                      </a:moveTo>
                                      <a:lnTo>
                                        <a:pt x="3496691" y="0"/>
                                      </a:lnTo>
                                      <a:lnTo>
                                        <a:pt x="34966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5" name="Shape 12635"/>
                              <wps:cNvSpPr/>
                              <wps:spPr>
                                <a:xfrm>
                                  <a:off x="3659252" y="2349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6" name="Shape 12636"/>
                              <wps:cNvSpPr/>
                              <wps:spPr>
                                <a:xfrm>
                                  <a:off x="3665602" y="234950"/>
                                  <a:ext cx="1511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9144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7" name="Shape 12637"/>
                              <wps:cNvSpPr/>
                              <wps:spPr>
                                <a:xfrm>
                                  <a:off x="3816604" y="2349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8" name="Shape 12638"/>
                              <wps:cNvSpPr/>
                              <wps:spPr>
                                <a:xfrm>
                                  <a:off x="0" y="241300"/>
                                  <a:ext cx="914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9" name="Shape 12639"/>
                              <wps:cNvSpPr/>
                              <wps:spPr>
                                <a:xfrm>
                                  <a:off x="156210" y="241300"/>
                                  <a:ext cx="914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0" name="Shape 12640"/>
                              <wps:cNvSpPr/>
                              <wps:spPr>
                                <a:xfrm>
                                  <a:off x="3659252" y="241300"/>
                                  <a:ext cx="914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1" name="Shape 12641"/>
                              <wps:cNvSpPr/>
                              <wps:spPr>
                                <a:xfrm>
                                  <a:off x="3816604" y="241300"/>
                                  <a:ext cx="914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6350" y="80619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FED" w:rsidRDefault="007C5C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42" name="Shape 12642"/>
                              <wps:cNvSpPr/>
                              <wps:spPr>
                                <a:xfrm>
                                  <a:off x="0" y="7670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3" name="Shape 12643"/>
                              <wps:cNvSpPr/>
                              <wps:spPr>
                                <a:xfrm>
                                  <a:off x="6350" y="767080"/>
                                  <a:ext cx="149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9144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4" name="Shape 12644"/>
                              <wps:cNvSpPr/>
                              <wps:spPr>
                                <a:xfrm>
                                  <a:off x="156210" y="7670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5" name="Shape 12645"/>
                              <wps:cNvSpPr/>
                              <wps:spPr>
                                <a:xfrm>
                                  <a:off x="162560" y="767080"/>
                                  <a:ext cx="34966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691" h="9144">
                                      <a:moveTo>
                                        <a:pt x="0" y="0"/>
                                      </a:moveTo>
                                      <a:lnTo>
                                        <a:pt x="3496691" y="0"/>
                                      </a:lnTo>
                                      <a:lnTo>
                                        <a:pt x="34966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6" name="Shape 12646"/>
                              <wps:cNvSpPr/>
                              <wps:spPr>
                                <a:xfrm>
                                  <a:off x="3659252" y="7670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7" name="Shape 12647"/>
                              <wps:cNvSpPr/>
                              <wps:spPr>
                                <a:xfrm>
                                  <a:off x="3665602" y="767080"/>
                                  <a:ext cx="1511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9144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8" name="Shape 12648"/>
                              <wps:cNvSpPr/>
                              <wps:spPr>
                                <a:xfrm>
                                  <a:off x="3816604" y="7670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3E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9" name="Shape 12649"/>
                              <wps:cNvSpPr/>
                              <wps:spPr>
                                <a:xfrm>
                                  <a:off x="0" y="77343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0" name="Shape 12650"/>
                              <wps:cNvSpPr/>
                              <wps:spPr>
                                <a:xfrm>
                                  <a:off x="3816604" y="77343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48" name="Picture 154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" y="5969"/>
                                  <a:ext cx="2540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21" style="width:301.02pt;height:74.7pt;mso-position-horizontal-relative:char;mso-position-vertical-relative:line" coordsize="38229,9486">
                      <v:shape id="Shape 12651" style="position:absolute;width:38102;height:2286;left:63;top:63;" coordsize="3810254,228600" path="m0,0l3810254,0l3810254,228600l0,22860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469" style="position:absolute;width:563;height:2260;left:25466;top:97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5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3" style="position:absolute;width:38102;height:91;left:63;top:0;" coordsize="3810254,9144" path="m0,0l3810254,0l381025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4" style="position:absolute;width:91;height:91;left:38166;top: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5" style="position:absolute;width:91;height:2286;left:0;top:63;" coordsize="9144,228600" path="m0,0l9144,0l9144,228600l0,22860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6" style="position:absolute;width:91;height:2286;left:38166;top:63;" coordsize="9144,228600" path="m0,0l9144,0l9144,228600l0,22860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7" style="position:absolute;width:1498;height:5257;left:63;top:2413;" coordsize="149860,525780" path="m0,0l149860,0l149860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58" style="position:absolute;width:1498;height:1752;left:63;top:2413;" coordsize="149860,175260" path="m0,0l149860,0l149860,175260l0,17526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477" style="position:absolute;width:563;height:2260;left:63;top:24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59" style="position:absolute;width:34978;height:5257;left:1625;top:2413;" coordsize="3497834,525780" path="m0,0l3497834,0l3497834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0" style="position:absolute;width:34978;height:1752;left:1625;top:2413;" coordsize="3497834,175260" path="m0,0l3497834,0l3497834,175260l0,17526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561" style="position:absolute;width:46471;height:1843;left:1625;top:27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Для зарплат ниже или на уровне МРОТ страховые</w:t>
                              </w:r>
                            </w:p>
                          </w:txbxContent>
                        </v:textbox>
                      </v:rect>
                      <v:shape id="Shape 12661" style="position:absolute;width:34978;height:1752;left:1625;top:4165;" coordsize="3497834,175260" path="m0,0l3497834,0l3497834,175260l0,17526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482" style="position:absolute;width:28230;height:1843;left:1625;top:44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взносы остаются на уровне 30%.</w:t>
                              </w:r>
                            </w:p>
                          </w:txbxContent>
                        </v:textbox>
                      </v:rect>
                      <v:rect id="Rectangle 1483" style="position:absolute;width:506;height:1843;left:22876;top:44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62" style="position:absolute;width:34978;height:1752;left:1625;top:5918;" coordsize="3497834,175260" path="m0,0l3497834,0l3497834,175260l0,17526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485" style="position:absolute;width:506;height:1843;left:1625;top:62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63" style="position:absolute;width:1511;height:5257;left:36656;top:2413;" coordsize="151130,525780" path="m0,0l151130,0l151130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4" style="position:absolute;width:1511;height:1752;left:36656;top:2413;" coordsize="151130,175260" path="m0,0l151130,0l151130,175260l0,17526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488" style="position:absolute;width:506;height:1843;left:36656;top:27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65" style="position:absolute;width:91;height:91;left:0;top:2349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6" style="position:absolute;width:1498;height:91;left:63;top:2349;" coordsize="149860,9144" path="m0,0l149860,0l149860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7" style="position:absolute;width:91;height:91;left:1562;top:2349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8" style="position:absolute;width:34966;height:91;left:1625;top:2349;" coordsize="3496691,9144" path="m0,0l3496691,0l3496691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69" style="position:absolute;width:91;height:91;left:36592;top:2349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0" style="position:absolute;width:1511;height:91;left:36656;top:2349;" coordsize="151130,9144" path="m0,0l151130,0l151130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1" style="position:absolute;width:91;height:91;left:38166;top:2349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2" style="position:absolute;width:91;height:5257;left:0;top:2413;" coordsize="9144,525780" path="m0,0l9144,0l9144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3" style="position:absolute;width:91;height:5257;left:1562;top:2413;" coordsize="9144,525780" path="m0,0l9144,0l9144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4" style="position:absolute;width:91;height:5257;left:36592;top:2413;" coordsize="9144,525780" path="m0,0l9144,0l9144,525780l0,525780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5" style="position:absolute;width:91;height:5257;left:38166;top:2413;" coordsize="9144,525780" path="m0,0l9144,0l9144,525780l0,525780l0,0">
                        <v:stroke weight="0pt" endcap="flat" joinstyle="miter" miterlimit="10" on="false" color="#000000" opacity="0"/>
                        <v:fill on="true" color="#faf3e9"/>
                      </v:shape>
                      <v:rect id="Rectangle 1500" style="position:absolute;width:506;height:1843;left:63;top:80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76" style="position:absolute;width:91;height:91;left:0;top:767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7" style="position:absolute;width:1498;height:91;left:63;top:7670;" coordsize="149860,9144" path="m0,0l149860,0l149860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8" style="position:absolute;width:91;height:91;left:1562;top:767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79" style="position:absolute;width:34966;height:91;left:1625;top:7670;" coordsize="3496691,9144" path="m0,0l3496691,0l3496691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80" style="position:absolute;width:91;height:91;left:36592;top:767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81" style="position:absolute;width:1511;height:91;left:36656;top:7670;" coordsize="151130,9144" path="m0,0l151130,0l151130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82" style="position:absolute;width:91;height:91;left:38166;top:7670;" coordsize="9144,9144" path="m0,0l9144,0l9144,9144l0,9144l0,0">
                        <v:stroke weight="0pt" endcap="flat" joinstyle="miter" miterlimit="10" on="false" color="#000000" opacity="0"/>
                        <v:fill on="true" color="#faf3e9"/>
                      </v:shape>
                      <v:shape id="Shape 12683" style="position:absolute;width:91;height:1752;left:0;top:7734;" coordsize="9144,175260" path="m0,0l9144,0l9144,175260l0,175260l0,0">
                        <v:stroke weight="0pt" endcap="flat" joinstyle="miter" miterlimit="10" on="false" color="#000000" opacity="0"/>
                        <v:fill on="true" color="#ffffff"/>
                      </v:shape>
                      <v:shape id="Shape 12684" style="position:absolute;width:91;height:1752;left:38166;top:7734;" coordsize="9144,175260" path="m0,0l9144,0l9144,175260l0,175260l0,0">
                        <v:stroke weight="0pt" endcap="flat" joinstyle="miter" miterlimit="10" on="false" color="#000000" opacity="0"/>
                        <v:fill on="true" color="#ffffff"/>
                      </v:shape>
                      <v:shape id="Picture 1548" style="position:absolute;width:25400;height:2286;left:57;top:59;" filled="f">
                        <v:imagedata r:id="rId98"/>
                      </v:shape>
                    </v:group>
                  </w:pict>
                </mc:Fallback>
              </mc:AlternateContent>
            </w:r>
          </w:p>
          <w:p w:rsidR="006E6FED" w:rsidRDefault="007C5CAC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Полагаем, что новый порядок исчисления страховых взносов применяется к суммам, начисляемым по итогам апреля. </w:t>
            </w:r>
          </w:p>
          <w:p w:rsidR="006E6FED" w:rsidRDefault="007C5CA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</w:rPr>
              <w:t>К примеру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исчислении страховых взносов по итогам апреля: </w:t>
            </w:r>
          </w:p>
          <w:p w:rsidR="006E6FED" w:rsidRDefault="007C5C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к части выплат, равной МРОТ на 01.01.2020 (12130 </w:t>
            </w:r>
          </w:p>
        </w:tc>
      </w:tr>
      <w:tr w:rsidR="006E6FED">
        <w:trPr>
          <w:trHeight w:val="5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Антикризисные меры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Кто из налогоплательщиков может воспользоваться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ED" w:rsidRDefault="007C5CA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6E6FED">
        <w:trPr>
          <w:trHeight w:val="27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6E6FED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D" w:rsidRDefault="007C5CAC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рублей)</w:t>
            </w:r>
            <w:r>
              <w:rPr>
                <w:rFonts w:ascii="Times New Roman" w:eastAsia="Times New Roman" w:hAnsi="Times New Roman" w:cs="Times New Roman"/>
                <w:color w:val="106BBE"/>
                <w:sz w:val="24"/>
              </w:rPr>
              <w:t>*(1)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применяется общий тариф - 30 процентов. Страховые взносы с этой величины равны 3639 рублей; </w:t>
            </w:r>
          </w:p>
          <w:p w:rsidR="006E6FED" w:rsidRDefault="007C5C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к превышению применяется уже пониженный тариф - 15 процентов, и тогда в отношении начисленной заработной платы, к примеру, в 40 тысяч рублей страховые взносы будут равны 4180,50 рублей (15 х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(40000-12130)/100); </w:t>
            </w:r>
          </w:p>
          <w:p w:rsidR="006E6FED" w:rsidRDefault="007C5CAC">
            <w:r>
              <w:rPr>
                <w:rFonts w:ascii="Times New Roman" w:eastAsia="Times New Roman" w:hAnsi="Times New Roman" w:cs="Times New Roman"/>
                <w:sz w:val="24"/>
              </w:rPr>
              <w:t xml:space="preserve">3) всего с начисленной оплаты в 40000 рублей причитается страховых взносов "по-новому" - 7819,50 рублей (ранее с этой же суммы - 12 000 рублей) </w:t>
            </w:r>
          </w:p>
        </w:tc>
      </w:tr>
    </w:tbl>
    <w:p w:rsidR="006E6FED" w:rsidRDefault="007C5CAC">
      <w:pPr>
        <w:spacing w:after="0"/>
        <w:ind w:left="4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/>
        <w:ind w:left="4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7C5CAC">
      <w:pPr>
        <w:spacing w:after="0" w:line="249" w:lineRule="auto"/>
        <w:ind w:left="414"/>
        <w:jc w:val="both"/>
      </w:pPr>
      <w:r>
        <w:rPr>
          <w:rFonts w:ascii="Times New Roman" w:eastAsia="Times New Roman" w:hAnsi="Times New Roman" w:cs="Times New Roman"/>
          <w:sz w:val="24"/>
        </w:rPr>
        <w:t>*(1)</w:t>
      </w:r>
      <w:hyperlink r:id="rId9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00">
        <w:r>
          <w:rPr>
            <w:rFonts w:ascii="Times New Roman" w:eastAsia="Times New Roman" w:hAnsi="Times New Roman" w:cs="Times New Roman"/>
            <w:color w:val="106BBE"/>
            <w:sz w:val="24"/>
          </w:rPr>
          <w:t>Федеральный закон</w:t>
        </w:r>
      </w:hyperlink>
      <w:hyperlink r:id="rId10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от 19 июня 2000 г. N 82-ФЗ (в ред. Федерального закона от 27 декабря 2019 г. N 463-ФЗ) </w:t>
      </w:r>
    </w:p>
    <w:p w:rsidR="006E6FED" w:rsidRDefault="007C5CAC">
      <w:pPr>
        <w:spacing w:after="0"/>
        <w:ind w:left="4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ED" w:rsidRDefault="006E6FED">
      <w:pPr>
        <w:spacing w:after="0"/>
        <w:ind w:left="414"/>
      </w:pPr>
    </w:p>
    <w:sectPr w:rsidR="006E6FED">
      <w:pgSz w:w="16838" w:h="11906" w:orient="landscape"/>
      <w:pgMar w:top="85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0DD"/>
    <w:multiLevelType w:val="hybridMultilevel"/>
    <w:tmpl w:val="B2BEA750"/>
    <w:lvl w:ilvl="0" w:tplc="504ABF8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1B6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EF2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E8A5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8447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AF36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423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92F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1BD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A1CC7"/>
    <w:multiLevelType w:val="hybridMultilevel"/>
    <w:tmpl w:val="78A275A4"/>
    <w:lvl w:ilvl="0" w:tplc="8C04FF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E09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BAC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4EA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29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021B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864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ED7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CD5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B0F91"/>
    <w:multiLevelType w:val="hybridMultilevel"/>
    <w:tmpl w:val="CC2899FC"/>
    <w:lvl w:ilvl="0" w:tplc="D83406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4E1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6446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BC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409D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2336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AA65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DA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21D1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646B2"/>
    <w:multiLevelType w:val="hybridMultilevel"/>
    <w:tmpl w:val="B6B032D6"/>
    <w:lvl w:ilvl="0" w:tplc="B4C8DBD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8AC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43BE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6978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821D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6626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481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C729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EDCF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27928"/>
    <w:multiLevelType w:val="hybridMultilevel"/>
    <w:tmpl w:val="65D280CA"/>
    <w:lvl w:ilvl="0" w:tplc="29ECC0C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0325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A669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0E5B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4FE4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6284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CDB8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3F1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28B4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17885"/>
    <w:multiLevelType w:val="hybridMultilevel"/>
    <w:tmpl w:val="D7684FC6"/>
    <w:lvl w:ilvl="0" w:tplc="DCF07B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203C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2E2E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422D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45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E10F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DD3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6EEB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F05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A0FF4"/>
    <w:multiLevelType w:val="hybridMultilevel"/>
    <w:tmpl w:val="7EE24A22"/>
    <w:lvl w:ilvl="0" w:tplc="54E8B4B0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EBD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690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2E0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51F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AD07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C50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49FC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0BCE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35E57"/>
    <w:multiLevelType w:val="hybridMultilevel"/>
    <w:tmpl w:val="064A82A8"/>
    <w:lvl w:ilvl="0" w:tplc="F8F43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01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0A1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EDE3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ECB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ED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23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686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CD5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4F6D31"/>
    <w:multiLevelType w:val="hybridMultilevel"/>
    <w:tmpl w:val="6310E9C8"/>
    <w:lvl w:ilvl="0" w:tplc="4D3089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218E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AF2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8EC8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5FD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699D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4577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208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E865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351B6"/>
    <w:multiLevelType w:val="hybridMultilevel"/>
    <w:tmpl w:val="CF6881CE"/>
    <w:lvl w:ilvl="0" w:tplc="3218242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6BA2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C13F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4E7A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2591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AA56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C04C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64E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0343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ED"/>
    <w:rsid w:val="00056A03"/>
    <w:rsid w:val="00343D7C"/>
    <w:rsid w:val="006E6FED"/>
    <w:rsid w:val="007C5CAC"/>
    <w:rsid w:val="00E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F1DB"/>
  <w15:docId w15:val="{C0DF1583-51DE-459C-A0CB-82E4DB1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3771313/0" TargetMode="External"/><Relationship Id="rId21" Type="http://schemas.openxmlformats.org/officeDocument/2006/relationships/hyperlink" Target="http://ivo.garant.ru/document/redirect/73793643/0" TargetMode="External"/><Relationship Id="rId42" Type="http://schemas.openxmlformats.org/officeDocument/2006/relationships/hyperlink" Target="http://ivo.garant.ru/document/redirect/73826568/0" TargetMode="External"/><Relationship Id="rId47" Type="http://schemas.openxmlformats.org/officeDocument/2006/relationships/hyperlink" Target="http://ivo.garant.ru/document/redirect/73846630/1000" TargetMode="External"/><Relationship Id="rId63" Type="http://schemas.openxmlformats.org/officeDocument/2006/relationships/hyperlink" Target="http://ivo.garant.ru/document/redirect/73841744/0" TargetMode="External"/><Relationship Id="rId68" Type="http://schemas.openxmlformats.org/officeDocument/2006/relationships/hyperlink" Target="http://ivo.garant.ru/document/redirect/10900200/7001" TargetMode="External"/><Relationship Id="rId84" Type="http://schemas.openxmlformats.org/officeDocument/2006/relationships/hyperlink" Target="http://ivo.garant.ru/document/redirect/73849374/13" TargetMode="External"/><Relationship Id="rId89" Type="http://schemas.openxmlformats.org/officeDocument/2006/relationships/hyperlink" Target="http://ivo.garant.ru/document/redirect/77680255/427117" TargetMode="External"/><Relationship Id="rId7" Type="http://schemas.openxmlformats.org/officeDocument/2006/relationships/hyperlink" Target="http://ivo.garant.ru/document/redirect/77468127/0" TargetMode="External"/><Relationship Id="rId71" Type="http://schemas.openxmlformats.org/officeDocument/2006/relationships/hyperlink" Target="http://ivo.garant.ru/document/redirect/10900200/7002" TargetMode="External"/><Relationship Id="rId92" Type="http://schemas.openxmlformats.org/officeDocument/2006/relationships/hyperlink" Target="http://ivo.garant.ru/document/redirect/73828130/2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3845348/0" TargetMode="External"/><Relationship Id="rId29" Type="http://schemas.openxmlformats.org/officeDocument/2006/relationships/hyperlink" Target="http://ivo.garant.ru/document/redirect/73846630/1000" TargetMode="External"/><Relationship Id="rId11" Type="http://schemas.openxmlformats.org/officeDocument/2006/relationships/hyperlink" Target="http://ivo.garant.ru/document/redirect/73849374/3" TargetMode="External"/><Relationship Id="rId24" Type="http://schemas.openxmlformats.org/officeDocument/2006/relationships/hyperlink" Target="http://ivo.garant.ru/document/redirect/73830534/0" TargetMode="External"/><Relationship Id="rId32" Type="http://schemas.openxmlformats.org/officeDocument/2006/relationships/hyperlink" Target="http://ivo.garant.ru/document/redirect/990941/267464715" TargetMode="External"/><Relationship Id="rId37" Type="http://schemas.openxmlformats.org/officeDocument/2006/relationships/hyperlink" Target="http://ivo.garant.ru/document/redirect/77398907/200" TargetMode="External"/><Relationship Id="rId40" Type="http://schemas.openxmlformats.org/officeDocument/2006/relationships/hyperlink" Target="http://ivo.garant.ru/document/redirect/10900200/2276" TargetMode="External"/><Relationship Id="rId45" Type="http://schemas.openxmlformats.org/officeDocument/2006/relationships/hyperlink" Target="http://ivo.garant.ru/document/redirect/73759685/0" TargetMode="External"/><Relationship Id="rId53" Type="http://schemas.openxmlformats.org/officeDocument/2006/relationships/hyperlink" Target="http://ivo.garant.ru/document/redirect/73798407/0" TargetMode="External"/><Relationship Id="rId58" Type="http://schemas.openxmlformats.org/officeDocument/2006/relationships/hyperlink" Target="http://ivo.garant.ru/document/redirect/990941/267464715" TargetMode="External"/><Relationship Id="rId66" Type="http://schemas.openxmlformats.org/officeDocument/2006/relationships/hyperlink" Target="http://ivo.garant.ru/document/redirect/10900200/7001" TargetMode="External"/><Relationship Id="rId74" Type="http://schemas.openxmlformats.org/officeDocument/2006/relationships/hyperlink" Target="http://ivo.garant.ru/document/redirect/73849374/7" TargetMode="External"/><Relationship Id="rId79" Type="http://schemas.openxmlformats.org/officeDocument/2006/relationships/hyperlink" Target="http://ivo.garant.ru/document/redirect/73778665/2" TargetMode="External"/><Relationship Id="rId87" Type="http://schemas.openxmlformats.org/officeDocument/2006/relationships/hyperlink" Target="http://ivo.garant.ru/document/redirect/77398907/20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document/redirect/77468127/0" TargetMode="External"/><Relationship Id="rId61" Type="http://schemas.openxmlformats.org/officeDocument/2006/relationships/hyperlink" Target="http://ivo.garant.ru/document/redirect/73808894/0" TargetMode="External"/><Relationship Id="rId82" Type="http://schemas.openxmlformats.org/officeDocument/2006/relationships/hyperlink" Target="http://ivo.garant.ru/document/redirect/73849374/12" TargetMode="External"/><Relationship Id="rId90" Type="http://schemas.openxmlformats.org/officeDocument/2006/relationships/hyperlink" Target="http://ivo.garant.ru/document/redirect/77680255/427117" TargetMode="External"/><Relationship Id="rId95" Type="http://schemas.openxmlformats.org/officeDocument/2006/relationships/hyperlink" Target="http://ivo.garant.ru/document/redirect/73828130/5" TargetMode="External"/><Relationship Id="rId19" Type="http://schemas.openxmlformats.org/officeDocument/2006/relationships/hyperlink" Target="http://ivo.garant.ru/document/redirect/77398907/100" TargetMode="External"/><Relationship Id="rId14" Type="http://schemas.openxmlformats.org/officeDocument/2006/relationships/hyperlink" Target="http://ivo.garant.ru/document/redirect/73856350/0" TargetMode="External"/><Relationship Id="rId22" Type="http://schemas.openxmlformats.org/officeDocument/2006/relationships/hyperlink" Target="http://ivo.garant.ru/document/redirect/73793643/0" TargetMode="External"/><Relationship Id="rId27" Type="http://schemas.openxmlformats.org/officeDocument/2006/relationships/hyperlink" Target="http://ivo.garant.ru/document/redirect/73759685/0" TargetMode="External"/><Relationship Id="rId30" Type="http://schemas.openxmlformats.org/officeDocument/2006/relationships/hyperlink" Target="http://ivo.garant.ru/document/redirect/73846630/1000" TargetMode="External"/><Relationship Id="rId35" Type="http://schemas.openxmlformats.org/officeDocument/2006/relationships/hyperlink" Target="http://ivo.garant.ru/document/redirect/73849374/1" TargetMode="External"/><Relationship Id="rId43" Type="http://schemas.openxmlformats.org/officeDocument/2006/relationships/hyperlink" Target="http://ivo.garant.ru/document/redirect/73771313/0" TargetMode="External"/><Relationship Id="rId48" Type="http://schemas.openxmlformats.org/officeDocument/2006/relationships/hyperlink" Target="http://ivo.garant.ru/document/redirect/73846630/1000" TargetMode="External"/><Relationship Id="rId56" Type="http://schemas.openxmlformats.org/officeDocument/2006/relationships/hyperlink" Target="http://ivo.garant.ru/document/redirect/10900200/4603" TargetMode="External"/><Relationship Id="rId64" Type="http://schemas.openxmlformats.org/officeDocument/2006/relationships/hyperlink" Target="http://ivo.garant.ru/document/redirect/73841744/0" TargetMode="External"/><Relationship Id="rId69" Type="http://schemas.openxmlformats.org/officeDocument/2006/relationships/hyperlink" Target="http://ivo.garant.ru/document/redirect/10900200/7001" TargetMode="External"/><Relationship Id="rId77" Type="http://schemas.openxmlformats.org/officeDocument/2006/relationships/hyperlink" Target="http://ivo.garant.ru/document/redirect/73849374/4" TargetMode="External"/><Relationship Id="rId100" Type="http://schemas.openxmlformats.org/officeDocument/2006/relationships/hyperlink" Target="http://ivo.garant.ru/document/redirect/12119913/1" TargetMode="External"/><Relationship Id="rId8" Type="http://schemas.openxmlformats.org/officeDocument/2006/relationships/hyperlink" Target="http://ivo.garant.ru/document/redirect/77468127/0" TargetMode="External"/><Relationship Id="rId51" Type="http://schemas.openxmlformats.org/officeDocument/2006/relationships/hyperlink" Target="http://ivo.garant.ru/document/redirect/73808916/0" TargetMode="External"/><Relationship Id="rId72" Type="http://schemas.openxmlformats.org/officeDocument/2006/relationships/hyperlink" Target="http://ivo.garant.ru/document/redirect/73849374/4" TargetMode="External"/><Relationship Id="rId80" Type="http://schemas.openxmlformats.org/officeDocument/2006/relationships/hyperlink" Target="http://ivo.garant.ru/document/redirect/58077759/0" TargetMode="External"/><Relationship Id="rId85" Type="http://schemas.openxmlformats.org/officeDocument/2006/relationships/hyperlink" Target="http://ivo.garant.ru/document/redirect/73849374/13" TargetMode="External"/><Relationship Id="rId93" Type="http://schemas.openxmlformats.org/officeDocument/2006/relationships/hyperlink" Target="http://ivo.garant.ru/document/redirect/73828130/29" TargetMode="External"/><Relationship Id="rId98" Type="http://schemas.openxmlformats.org/officeDocument/2006/relationships/image" Target="media/image0.png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3849374/3" TargetMode="External"/><Relationship Id="rId17" Type="http://schemas.openxmlformats.org/officeDocument/2006/relationships/hyperlink" Target="http://ivo.garant.ru/document/redirect/73806544/0" TargetMode="External"/><Relationship Id="rId25" Type="http://schemas.openxmlformats.org/officeDocument/2006/relationships/hyperlink" Target="http://ivo.garant.ru/document/redirect/73771313/0" TargetMode="External"/><Relationship Id="rId33" Type="http://schemas.openxmlformats.org/officeDocument/2006/relationships/hyperlink" Target="http://ivo.garant.ru/document/redirect/990941/267464715" TargetMode="External"/><Relationship Id="rId38" Type="http://schemas.openxmlformats.org/officeDocument/2006/relationships/hyperlink" Target="http://ivo.garant.ru/document/redirect/77398907/200" TargetMode="External"/><Relationship Id="rId46" Type="http://schemas.openxmlformats.org/officeDocument/2006/relationships/hyperlink" Target="http://ivo.garant.ru/document/redirect/73759685/0" TargetMode="External"/><Relationship Id="rId59" Type="http://schemas.openxmlformats.org/officeDocument/2006/relationships/hyperlink" Target="http://ivo.garant.ru/document/redirect/990941/267464715" TargetMode="External"/><Relationship Id="rId67" Type="http://schemas.openxmlformats.org/officeDocument/2006/relationships/hyperlink" Target="http://ivo.garant.ru/document/redirect/10900200/700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document/redirect/77398907/100" TargetMode="External"/><Relationship Id="rId41" Type="http://schemas.openxmlformats.org/officeDocument/2006/relationships/hyperlink" Target="http://ivo.garant.ru/document/redirect/73826568/0" TargetMode="External"/><Relationship Id="rId54" Type="http://schemas.openxmlformats.org/officeDocument/2006/relationships/hyperlink" Target="http://ivo.garant.ru/document/redirect/73798407/0" TargetMode="External"/><Relationship Id="rId62" Type="http://schemas.openxmlformats.org/officeDocument/2006/relationships/hyperlink" Target="http://ivo.garant.ru/document/redirect/73808894/0" TargetMode="External"/><Relationship Id="rId70" Type="http://schemas.openxmlformats.org/officeDocument/2006/relationships/hyperlink" Target="http://ivo.garant.ru/document/redirect/10900200/7002" TargetMode="External"/><Relationship Id="rId75" Type="http://schemas.openxmlformats.org/officeDocument/2006/relationships/hyperlink" Target="http://ivo.garant.ru/document/redirect/73849374/7" TargetMode="External"/><Relationship Id="rId83" Type="http://schemas.openxmlformats.org/officeDocument/2006/relationships/hyperlink" Target="http://ivo.garant.ru/document/redirect/73849374/12" TargetMode="External"/><Relationship Id="rId88" Type="http://schemas.openxmlformats.org/officeDocument/2006/relationships/hyperlink" Target="http://ivo.garant.ru/document/redirect/77398907/200" TargetMode="External"/><Relationship Id="rId91" Type="http://schemas.openxmlformats.org/officeDocument/2006/relationships/hyperlink" Target="http://ivo.garant.ru/document/redirect/77680255/427117" TargetMode="External"/><Relationship Id="rId96" Type="http://schemas.openxmlformats.org/officeDocument/2006/relationships/hyperlink" Target="http://ivo.garant.ru/document/redirect/73828130/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7468127/0" TargetMode="External"/><Relationship Id="rId15" Type="http://schemas.openxmlformats.org/officeDocument/2006/relationships/hyperlink" Target="http://ivo.garant.ru/document/redirect/73845348/0" TargetMode="External"/><Relationship Id="rId23" Type="http://schemas.openxmlformats.org/officeDocument/2006/relationships/hyperlink" Target="http://ivo.garant.ru/document/redirect/73830534/0" TargetMode="External"/><Relationship Id="rId28" Type="http://schemas.openxmlformats.org/officeDocument/2006/relationships/hyperlink" Target="http://ivo.garant.ru/document/redirect/73759685/0" TargetMode="External"/><Relationship Id="rId36" Type="http://schemas.openxmlformats.org/officeDocument/2006/relationships/hyperlink" Target="http://ivo.garant.ru/document/redirect/73849374/1" TargetMode="External"/><Relationship Id="rId49" Type="http://schemas.openxmlformats.org/officeDocument/2006/relationships/hyperlink" Target="http://ivo.garant.ru/document/redirect/990941/267464715" TargetMode="External"/><Relationship Id="rId57" Type="http://schemas.openxmlformats.org/officeDocument/2006/relationships/hyperlink" Target="http://ivo.garant.ru/document/redirect/10900200/4603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ivo.garant.ru/document/redirect/990941/267464715" TargetMode="External"/><Relationship Id="rId44" Type="http://schemas.openxmlformats.org/officeDocument/2006/relationships/hyperlink" Target="http://ivo.garant.ru/document/redirect/73771313/0" TargetMode="External"/><Relationship Id="rId52" Type="http://schemas.openxmlformats.org/officeDocument/2006/relationships/hyperlink" Target="http://ivo.garant.ru/document/redirect/73808916/0" TargetMode="External"/><Relationship Id="rId60" Type="http://schemas.openxmlformats.org/officeDocument/2006/relationships/hyperlink" Target="http://ivo.garant.ru/document/redirect/990941/267464715" TargetMode="External"/><Relationship Id="rId65" Type="http://schemas.openxmlformats.org/officeDocument/2006/relationships/hyperlink" Target="http://ivo.garant.ru/document/redirect/10900200/7001" TargetMode="External"/><Relationship Id="rId73" Type="http://schemas.openxmlformats.org/officeDocument/2006/relationships/hyperlink" Target="http://ivo.garant.ru/document/redirect/73849374/4" TargetMode="External"/><Relationship Id="rId78" Type="http://schemas.openxmlformats.org/officeDocument/2006/relationships/hyperlink" Target="http://ivo.garant.ru/document/redirect/73778665/2" TargetMode="External"/><Relationship Id="rId81" Type="http://schemas.openxmlformats.org/officeDocument/2006/relationships/hyperlink" Target="http://ivo.garant.ru/document/redirect/58077759/0" TargetMode="External"/><Relationship Id="rId86" Type="http://schemas.openxmlformats.org/officeDocument/2006/relationships/hyperlink" Target="http://ivo.garant.ru/document/redirect/73849374/13" TargetMode="External"/><Relationship Id="rId94" Type="http://schemas.openxmlformats.org/officeDocument/2006/relationships/hyperlink" Target="http://ivo.garant.ru/document/redirect/73828130/5" TargetMode="External"/><Relationship Id="rId99" Type="http://schemas.openxmlformats.org/officeDocument/2006/relationships/hyperlink" Target="http://ivo.garant.ru/document/redirect/12119913/1" TargetMode="External"/><Relationship Id="rId101" Type="http://schemas.openxmlformats.org/officeDocument/2006/relationships/hyperlink" Target="http://ivo.garant.ru/document/redirect/12119913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468127/0" TargetMode="External"/><Relationship Id="rId13" Type="http://schemas.openxmlformats.org/officeDocument/2006/relationships/hyperlink" Target="http://ivo.garant.ru/document/redirect/73856350/0" TargetMode="External"/><Relationship Id="rId18" Type="http://schemas.openxmlformats.org/officeDocument/2006/relationships/hyperlink" Target="http://ivo.garant.ru/document/redirect/73806544/0" TargetMode="External"/><Relationship Id="rId39" Type="http://schemas.openxmlformats.org/officeDocument/2006/relationships/hyperlink" Target="http://ivo.garant.ru/document/redirect/10900200/2276" TargetMode="External"/><Relationship Id="rId34" Type="http://schemas.openxmlformats.org/officeDocument/2006/relationships/hyperlink" Target="http://ivo.garant.ru/document/redirect/990941/267464715" TargetMode="External"/><Relationship Id="rId50" Type="http://schemas.openxmlformats.org/officeDocument/2006/relationships/hyperlink" Target="http://ivo.garant.ru/document/redirect/73808916/0" TargetMode="External"/><Relationship Id="rId55" Type="http://schemas.openxmlformats.org/officeDocument/2006/relationships/hyperlink" Target="http://ivo.garant.ru/document/redirect/73798407/0" TargetMode="External"/><Relationship Id="rId76" Type="http://schemas.openxmlformats.org/officeDocument/2006/relationships/hyperlink" Target="http://ivo.garant.ru/document/redirect/73849374/4" TargetMode="External"/><Relationship Id="rId97" Type="http://schemas.openxmlformats.org/officeDocument/2006/relationships/hyperlink" Target="http://ivo.garant.ru/document/redirect/73828130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cp:lastModifiedBy>User</cp:lastModifiedBy>
  <cp:revision>7</cp:revision>
  <dcterms:created xsi:type="dcterms:W3CDTF">2020-05-07T06:02:00Z</dcterms:created>
  <dcterms:modified xsi:type="dcterms:W3CDTF">2020-05-07T06:40:00Z</dcterms:modified>
</cp:coreProperties>
</file>